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9F1" w:rsidRDefault="009A6091" w:rsidP="009E4DDC">
      <w:pPr>
        <w:pStyle w:val="KonuBal"/>
        <w:rPr>
          <w:rFonts w:ascii="Arial (W1)" w:hAnsi="Arial (W1)"/>
          <w:color w:val="FF0000"/>
          <w:sz w:val="40"/>
          <w:szCs w:val="40"/>
          <w:lang w:val="tr-TR"/>
        </w:rPr>
      </w:pPr>
      <w:r w:rsidRPr="009E4DDC">
        <w:rPr>
          <w:rFonts w:ascii="Arial (W1)" w:hAnsi="Arial (W1)"/>
          <w:noProof/>
          <w:color w:val="FF0000"/>
          <w:szCs w:val="32"/>
          <w:lang w:val="tr-TR"/>
        </w:rPr>
        <w:drawing>
          <wp:anchor distT="0" distB="0" distL="114300" distR="114300" simplePos="0" relativeHeight="251658240" behindDoc="1" locked="0" layoutInCell="1" allowOverlap="1">
            <wp:simplePos x="0" y="0"/>
            <wp:positionH relativeFrom="column">
              <wp:posOffset>-262255</wp:posOffset>
            </wp:positionH>
            <wp:positionV relativeFrom="paragraph">
              <wp:posOffset>-110490</wp:posOffset>
            </wp:positionV>
            <wp:extent cx="1508760" cy="704850"/>
            <wp:effectExtent l="0" t="0" r="0" b="0"/>
            <wp:wrapNone/>
            <wp:docPr id="71" name="Resim 71" descr="yatay_log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897913" name="Picture 71" descr="yatay_logoI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876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E0A" w:rsidRPr="009A6091" w:rsidRDefault="009A6091" w:rsidP="009E4DDC">
      <w:pPr>
        <w:pStyle w:val="KonuBal"/>
        <w:rPr>
          <w:sz w:val="22"/>
        </w:rPr>
      </w:pPr>
      <w:r w:rsidRPr="009E4DDC">
        <w:rPr>
          <w:rFonts w:ascii="Arial (W1)" w:hAnsi="Arial (W1)"/>
          <w:color w:val="FF0000"/>
          <w:sz w:val="40"/>
          <w:szCs w:val="40"/>
        </w:rPr>
        <w:t>SUPPLIER DAYS 2022</w:t>
      </w:r>
    </w:p>
    <w:p w:rsidR="006F48CF" w:rsidRPr="009E4DDC" w:rsidRDefault="006F48CF">
      <w:pPr>
        <w:tabs>
          <w:tab w:val="left" w:pos="0"/>
        </w:tabs>
        <w:ind w:right="1"/>
        <w:jc w:val="both"/>
        <w:rPr>
          <w:rFonts w:ascii="Arial" w:hAnsi="Arial"/>
          <w:i/>
          <w:sz w:val="22"/>
        </w:rPr>
      </w:pPr>
    </w:p>
    <w:p w:rsidR="009E4DDC" w:rsidRPr="00831833" w:rsidRDefault="009A6091" w:rsidP="009E4DDC">
      <w:pPr>
        <w:autoSpaceDE w:val="0"/>
        <w:autoSpaceDN w:val="0"/>
        <w:adjustRightInd w:val="0"/>
        <w:spacing w:before="240"/>
        <w:jc w:val="both"/>
        <w:rPr>
          <w:rFonts w:ascii="Calibri" w:hAnsi="Calibri" w:cs="Arial"/>
          <w:color w:val="000000"/>
          <w:sz w:val="24"/>
          <w:szCs w:val="24"/>
        </w:rPr>
      </w:pPr>
      <w:r w:rsidRPr="00831833">
        <w:rPr>
          <w:rFonts w:ascii="Calibri" w:hAnsi="Calibri" w:cs="Arial"/>
          <w:color w:val="000000"/>
          <w:sz w:val="24"/>
          <w:szCs w:val="24"/>
          <w:lang w:val="en-US"/>
        </w:rPr>
        <w:t>Since 1990, the Turkish Suppliers Exchange (TSPX) has been an industrial intermediary organization within the Istanbul Chamber of Commerce with nearly 3,500 members. It was established in cooperation with UNIDO (United Nations Industrial Development Organi</w:t>
      </w:r>
      <w:r w:rsidR="00D458D0">
        <w:rPr>
          <w:rFonts w:ascii="Calibri" w:hAnsi="Calibri" w:cs="Arial"/>
          <w:color w:val="000000"/>
          <w:sz w:val="24"/>
          <w:szCs w:val="24"/>
          <w:lang w:val="en-US"/>
        </w:rPr>
        <w:t>zation) and now has 32</w:t>
      </w:r>
      <w:r w:rsidRPr="00831833">
        <w:rPr>
          <w:rFonts w:ascii="Calibri" w:hAnsi="Calibri" w:cs="Arial"/>
          <w:color w:val="000000"/>
          <w:sz w:val="24"/>
          <w:szCs w:val="24"/>
          <w:lang w:val="en-US"/>
        </w:rPr>
        <w:t xml:space="preserve"> years of experience both domestically and internationally. In short, TSPX is a technical information resource for main contractors and buyers. </w:t>
      </w:r>
    </w:p>
    <w:p w:rsidR="009E4DDC" w:rsidRPr="00831833" w:rsidRDefault="009A6091" w:rsidP="009E4DDC">
      <w:pPr>
        <w:tabs>
          <w:tab w:val="left" w:pos="0"/>
        </w:tabs>
        <w:autoSpaceDE w:val="0"/>
        <w:autoSpaceDN w:val="0"/>
        <w:adjustRightInd w:val="0"/>
        <w:spacing w:before="120" w:after="120"/>
        <w:jc w:val="both"/>
        <w:rPr>
          <w:rFonts w:ascii="Calibri" w:hAnsi="Calibri" w:cs="Arial"/>
          <w:color w:val="000000"/>
          <w:sz w:val="24"/>
          <w:szCs w:val="24"/>
        </w:rPr>
      </w:pPr>
      <w:r w:rsidRPr="00831833">
        <w:rPr>
          <w:rFonts w:ascii="Calibri" w:hAnsi="Calibri" w:cs="Arial"/>
          <w:color w:val="000000"/>
          <w:sz w:val="24"/>
          <w:szCs w:val="24"/>
          <w:lang w:val="en-US"/>
        </w:rPr>
        <w:t>TSPX is also a promotion office for the members, primarily for small and medium enterprises (SMEs) who want to expand their business. Advantages of TSPX:</w:t>
      </w:r>
    </w:p>
    <w:p w:rsidR="005B273D" w:rsidRPr="005B273D" w:rsidRDefault="009A6091" w:rsidP="005B273D">
      <w:pPr>
        <w:pStyle w:val="ListeParagraf"/>
        <w:numPr>
          <w:ilvl w:val="0"/>
          <w:numId w:val="1"/>
        </w:numPr>
        <w:autoSpaceDE w:val="0"/>
        <w:autoSpaceDN w:val="0"/>
        <w:adjustRightInd w:val="0"/>
        <w:spacing w:before="240"/>
        <w:rPr>
          <w:rFonts w:ascii="Calibri" w:hAnsi="Calibri" w:cs="Arial"/>
          <w:color w:val="000000"/>
          <w:sz w:val="24"/>
          <w:szCs w:val="24"/>
        </w:rPr>
      </w:pPr>
      <w:r w:rsidRPr="005B273D">
        <w:rPr>
          <w:rFonts w:ascii="Calibri" w:hAnsi="Calibri" w:cs="Arial"/>
          <w:color w:val="000000"/>
          <w:sz w:val="24"/>
          <w:szCs w:val="24"/>
          <w:lang w:val="en-US"/>
        </w:rPr>
        <w:t xml:space="preserve">An effective way to establish contacts between potential business partners </w:t>
      </w:r>
    </w:p>
    <w:p w:rsidR="005B273D" w:rsidRPr="005B273D" w:rsidRDefault="009A6091" w:rsidP="005B273D">
      <w:pPr>
        <w:pStyle w:val="ListeParagraf"/>
        <w:numPr>
          <w:ilvl w:val="0"/>
          <w:numId w:val="1"/>
        </w:numPr>
        <w:autoSpaceDE w:val="0"/>
        <w:autoSpaceDN w:val="0"/>
        <w:adjustRightInd w:val="0"/>
        <w:spacing w:before="240"/>
        <w:rPr>
          <w:rFonts w:ascii="Calibri" w:hAnsi="Calibri" w:cs="Arial"/>
          <w:color w:val="000000"/>
          <w:sz w:val="24"/>
          <w:szCs w:val="24"/>
        </w:rPr>
      </w:pPr>
      <w:r w:rsidRPr="005B273D">
        <w:rPr>
          <w:rFonts w:ascii="Calibri" w:hAnsi="Calibri" w:cs="Arial"/>
          <w:color w:val="000000"/>
          <w:sz w:val="24"/>
          <w:szCs w:val="24"/>
          <w:lang w:val="en-US"/>
        </w:rPr>
        <w:t>The opportunity to meet with qualified Turkish suppliers.</w:t>
      </w:r>
    </w:p>
    <w:p w:rsidR="005B273D" w:rsidRPr="005B273D" w:rsidRDefault="009A6091" w:rsidP="005B273D">
      <w:pPr>
        <w:pStyle w:val="ListeParagraf"/>
        <w:numPr>
          <w:ilvl w:val="0"/>
          <w:numId w:val="1"/>
        </w:numPr>
        <w:autoSpaceDE w:val="0"/>
        <w:autoSpaceDN w:val="0"/>
        <w:adjustRightInd w:val="0"/>
        <w:spacing w:before="240"/>
        <w:rPr>
          <w:rFonts w:ascii="Calibri" w:hAnsi="Calibri" w:cs="Arial"/>
          <w:color w:val="000000"/>
          <w:sz w:val="24"/>
          <w:szCs w:val="24"/>
        </w:rPr>
      </w:pPr>
      <w:r w:rsidRPr="005B273D">
        <w:rPr>
          <w:rFonts w:ascii="Calibri" w:hAnsi="Calibri" w:cs="Arial"/>
          <w:color w:val="000000"/>
          <w:sz w:val="24"/>
          <w:szCs w:val="24"/>
          <w:lang w:val="en-US"/>
        </w:rPr>
        <w:t>All the requirements of main contractors or buyers are scanned in the database and the results are evaluated.</w:t>
      </w:r>
    </w:p>
    <w:p w:rsidR="005B273D" w:rsidRPr="005B273D" w:rsidRDefault="009A6091" w:rsidP="005B273D">
      <w:pPr>
        <w:pStyle w:val="ListeParagraf"/>
        <w:numPr>
          <w:ilvl w:val="0"/>
          <w:numId w:val="1"/>
        </w:numPr>
        <w:autoSpaceDE w:val="0"/>
        <w:autoSpaceDN w:val="0"/>
        <w:adjustRightInd w:val="0"/>
        <w:spacing w:before="240"/>
        <w:rPr>
          <w:rFonts w:ascii="Calibri" w:hAnsi="Calibri" w:cs="Arial"/>
          <w:color w:val="000000"/>
          <w:sz w:val="24"/>
          <w:szCs w:val="24"/>
        </w:rPr>
      </w:pPr>
      <w:r w:rsidRPr="005B273D">
        <w:rPr>
          <w:rFonts w:ascii="Calibri" w:hAnsi="Calibri" w:cs="Arial"/>
          <w:color w:val="000000"/>
          <w:sz w:val="24"/>
          <w:szCs w:val="24"/>
          <w:lang w:val="en-US"/>
        </w:rPr>
        <w:t>suitable suppliers are identified with the help of the database</w:t>
      </w:r>
    </w:p>
    <w:p w:rsidR="005B273D" w:rsidRPr="005B273D" w:rsidRDefault="009A6091" w:rsidP="005B273D">
      <w:pPr>
        <w:pStyle w:val="ListeParagraf"/>
        <w:numPr>
          <w:ilvl w:val="0"/>
          <w:numId w:val="1"/>
        </w:numPr>
        <w:autoSpaceDE w:val="0"/>
        <w:autoSpaceDN w:val="0"/>
        <w:adjustRightInd w:val="0"/>
        <w:spacing w:before="240"/>
        <w:rPr>
          <w:rFonts w:ascii="Calibri" w:hAnsi="Calibri" w:cs="Arial"/>
          <w:color w:val="000000"/>
          <w:sz w:val="24"/>
          <w:szCs w:val="24"/>
        </w:rPr>
      </w:pPr>
      <w:r w:rsidRPr="005B273D">
        <w:rPr>
          <w:rFonts w:ascii="Calibri" w:hAnsi="Calibri" w:cs="Arial"/>
          <w:color w:val="000000"/>
          <w:sz w:val="24"/>
          <w:szCs w:val="24"/>
          <w:lang w:val="en-US"/>
        </w:rPr>
        <w:t>tailor-made meetings</w:t>
      </w:r>
    </w:p>
    <w:p w:rsidR="009E4DDC" w:rsidRPr="005B273D" w:rsidRDefault="009A6091" w:rsidP="005B273D">
      <w:pPr>
        <w:pStyle w:val="ListeParagraf"/>
        <w:numPr>
          <w:ilvl w:val="0"/>
          <w:numId w:val="1"/>
        </w:numPr>
        <w:autoSpaceDE w:val="0"/>
        <w:autoSpaceDN w:val="0"/>
        <w:adjustRightInd w:val="0"/>
        <w:spacing w:before="240"/>
        <w:rPr>
          <w:rFonts w:ascii="Calibri" w:hAnsi="Calibri" w:cs="Arial"/>
          <w:color w:val="000000"/>
          <w:sz w:val="24"/>
          <w:szCs w:val="24"/>
        </w:rPr>
      </w:pPr>
      <w:r w:rsidRPr="005B273D">
        <w:rPr>
          <w:rFonts w:ascii="Calibri" w:hAnsi="Calibri" w:cs="Arial"/>
          <w:color w:val="000000"/>
          <w:sz w:val="24"/>
          <w:szCs w:val="24"/>
          <w:lang w:val="en-US"/>
        </w:rPr>
        <w:t>All the information and the services are</w:t>
      </w:r>
      <w:r w:rsidRPr="005B273D">
        <w:rPr>
          <w:rFonts w:ascii="Calibri" w:hAnsi="Calibri" w:cs="Arial"/>
          <w:b/>
          <w:bCs/>
          <w:color w:val="000000"/>
          <w:sz w:val="24"/>
          <w:szCs w:val="24"/>
          <w:u w:val="single"/>
          <w:lang w:val="en-US"/>
        </w:rPr>
        <w:t xml:space="preserve"> free of charge</w:t>
      </w:r>
    </w:p>
    <w:p w:rsidR="009E4DDC" w:rsidRPr="00831833" w:rsidRDefault="009A6091" w:rsidP="0026312D">
      <w:pPr>
        <w:autoSpaceDE w:val="0"/>
        <w:autoSpaceDN w:val="0"/>
        <w:adjustRightInd w:val="0"/>
        <w:spacing w:before="240"/>
        <w:jc w:val="both"/>
        <w:rPr>
          <w:rFonts w:ascii="Calibri" w:hAnsi="Calibri" w:cs="Arial"/>
          <w:color w:val="000000"/>
          <w:sz w:val="24"/>
          <w:szCs w:val="24"/>
        </w:rPr>
      </w:pPr>
      <w:r w:rsidRPr="00831833">
        <w:rPr>
          <w:rFonts w:ascii="Calibri" w:hAnsi="Calibri" w:cs="Arial"/>
          <w:color w:val="000000"/>
          <w:sz w:val="24"/>
          <w:szCs w:val="24"/>
          <w:lang w:val="en-US"/>
        </w:rPr>
        <w:t xml:space="preserve">TSPX organizes the </w:t>
      </w:r>
      <w:r w:rsidRPr="00831833">
        <w:rPr>
          <w:rFonts w:ascii="Calibri" w:hAnsi="Calibri" w:cs="Arial"/>
          <w:b/>
          <w:bCs/>
          <w:color w:val="000000"/>
          <w:sz w:val="24"/>
          <w:szCs w:val="24"/>
          <w:lang w:val="en-US"/>
        </w:rPr>
        <w:t>"Supplier Days"</w:t>
      </w:r>
      <w:r w:rsidRPr="00831833">
        <w:rPr>
          <w:rFonts w:ascii="Calibri" w:hAnsi="Calibri" w:cs="Arial"/>
          <w:color w:val="000000"/>
          <w:sz w:val="24"/>
          <w:szCs w:val="24"/>
          <w:lang w:val="en-US"/>
        </w:rPr>
        <w:t xml:space="preserve"> event exclusively for the main contractor and its purchasing department. This is an effective way to establish close contacts between potential business partners. All main contractor requirements for parts, components, modules and various operations are evaluated by TSPX experts, and eligible suppliers are identified using the database. In the attachment you will find more information about the supplier days.</w:t>
      </w:r>
    </w:p>
    <w:p w:rsidR="00FE3D7C" w:rsidRDefault="009A6091" w:rsidP="0026312D">
      <w:pPr>
        <w:autoSpaceDE w:val="0"/>
        <w:autoSpaceDN w:val="0"/>
        <w:adjustRightInd w:val="0"/>
        <w:spacing w:before="240"/>
        <w:jc w:val="both"/>
        <w:rPr>
          <w:rFonts w:ascii="Calibri" w:hAnsi="Calibri" w:cs="Arial"/>
          <w:color w:val="000000"/>
          <w:sz w:val="24"/>
          <w:szCs w:val="24"/>
        </w:rPr>
      </w:pPr>
      <w:r w:rsidRPr="00831833">
        <w:rPr>
          <w:rFonts w:ascii="Calibri" w:hAnsi="Calibri" w:cs="Arial"/>
          <w:color w:val="000000"/>
          <w:sz w:val="24"/>
          <w:szCs w:val="24"/>
          <w:lang w:val="en-US"/>
        </w:rPr>
        <w:t xml:space="preserve">We have successfully organized exclusive events for </w:t>
      </w:r>
      <w:r w:rsidRPr="00D52796">
        <w:rPr>
          <w:rFonts w:ascii="Calibri" w:hAnsi="Calibri" w:cs="Arial"/>
          <w:b/>
          <w:color w:val="000000"/>
          <w:sz w:val="24"/>
          <w:szCs w:val="24"/>
          <w:lang w:val="en-US"/>
        </w:rPr>
        <w:t>Bosch Rexroth</w:t>
      </w:r>
      <w:r w:rsidRPr="00831833">
        <w:rPr>
          <w:rFonts w:ascii="Calibri" w:hAnsi="Calibri" w:cs="Arial"/>
          <w:color w:val="000000"/>
          <w:sz w:val="24"/>
          <w:szCs w:val="24"/>
          <w:lang w:val="en-US"/>
        </w:rPr>
        <w:t xml:space="preserve"> (Germany), </w:t>
      </w:r>
      <w:r w:rsidRPr="00D52796">
        <w:rPr>
          <w:rFonts w:ascii="Calibri" w:hAnsi="Calibri" w:cs="Arial"/>
          <w:b/>
          <w:color w:val="000000"/>
          <w:sz w:val="24"/>
          <w:szCs w:val="24"/>
          <w:lang w:val="en-US"/>
        </w:rPr>
        <w:t>Festo</w:t>
      </w:r>
      <w:r w:rsidRPr="00831833">
        <w:rPr>
          <w:rFonts w:ascii="Calibri" w:hAnsi="Calibri" w:cs="Arial"/>
          <w:color w:val="000000"/>
          <w:sz w:val="24"/>
          <w:szCs w:val="24"/>
          <w:lang w:val="en-US"/>
        </w:rPr>
        <w:t xml:space="preserve"> (Germany), </w:t>
      </w:r>
      <w:r w:rsidRPr="00831833">
        <w:rPr>
          <w:rFonts w:ascii="Calibri" w:hAnsi="Calibri" w:cs="Arial"/>
          <w:b/>
          <w:bCs/>
          <w:color w:val="000000"/>
          <w:sz w:val="24"/>
          <w:szCs w:val="24"/>
          <w:lang w:val="en-US"/>
        </w:rPr>
        <w:t>Schneider Electric</w:t>
      </w:r>
      <w:r w:rsidRPr="00831833">
        <w:rPr>
          <w:rFonts w:ascii="Calibri" w:hAnsi="Calibri" w:cs="Arial"/>
          <w:color w:val="000000"/>
          <w:sz w:val="24"/>
          <w:szCs w:val="24"/>
          <w:lang w:val="en-US"/>
        </w:rPr>
        <w:t xml:space="preserve"> (France), </w:t>
      </w:r>
      <w:r w:rsidRPr="00831833">
        <w:rPr>
          <w:rFonts w:ascii="Calibri" w:hAnsi="Calibri" w:cs="Arial"/>
          <w:b/>
          <w:bCs/>
          <w:color w:val="000000"/>
          <w:sz w:val="24"/>
          <w:szCs w:val="24"/>
          <w:lang w:val="en-US"/>
        </w:rPr>
        <w:t>Harman</w:t>
      </w:r>
      <w:r w:rsidRPr="00831833">
        <w:rPr>
          <w:rFonts w:ascii="Calibri" w:hAnsi="Calibri" w:cs="Arial"/>
          <w:color w:val="000000"/>
          <w:sz w:val="24"/>
          <w:szCs w:val="24"/>
          <w:lang w:val="en-US"/>
        </w:rPr>
        <w:t xml:space="preserve"> (Denmark), </w:t>
      </w:r>
      <w:r w:rsidRPr="00831833">
        <w:rPr>
          <w:rFonts w:ascii="Calibri" w:hAnsi="Calibri" w:cs="Arial"/>
          <w:b/>
          <w:bCs/>
          <w:color w:val="000000"/>
          <w:sz w:val="24"/>
          <w:szCs w:val="24"/>
          <w:lang w:val="en-US"/>
        </w:rPr>
        <w:t>Hitachi</w:t>
      </w:r>
      <w:r w:rsidRPr="00831833">
        <w:rPr>
          <w:rFonts w:ascii="Calibri" w:hAnsi="Calibri" w:cs="Arial"/>
          <w:color w:val="000000"/>
          <w:sz w:val="24"/>
          <w:szCs w:val="24"/>
          <w:lang w:val="en-US"/>
        </w:rPr>
        <w:t xml:space="preserve"> (Japan), </w:t>
      </w:r>
      <w:r w:rsidRPr="00831833">
        <w:rPr>
          <w:rFonts w:ascii="Calibri" w:hAnsi="Calibri" w:cs="Arial"/>
          <w:b/>
          <w:bCs/>
          <w:color w:val="000000"/>
          <w:sz w:val="24"/>
          <w:szCs w:val="24"/>
          <w:lang w:val="en-US"/>
        </w:rPr>
        <w:t>Girbau</w:t>
      </w:r>
      <w:r w:rsidRPr="00831833">
        <w:rPr>
          <w:rFonts w:ascii="Calibri" w:hAnsi="Calibri" w:cs="Arial"/>
          <w:color w:val="000000"/>
          <w:sz w:val="24"/>
          <w:szCs w:val="24"/>
          <w:lang w:val="en-US"/>
        </w:rPr>
        <w:t xml:space="preserve"> (Spain), </w:t>
      </w:r>
      <w:r w:rsidRPr="00831833">
        <w:rPr>
          <w:rFonts w:ascii="Calibri" w:hAnsi="Calibri" w:cs="Arial"/>
          <w:b/>
          <w:bCs/>
          <w:color w:val="000000"/>
          <w:sz w:val="24"/>
          <w:szCs w:val="24"/>
          <w:lang w:val="en-US"/>
        </w:rPr>
        <w:t>Continental</w:t>
      </w:r>
      <w:r w:rsidRPr="00831833">
        <w:rPr>
          <w:rFonts w:ascii="Calibri" w:hAnsi="Calibri" w:cs="Arial"/>
          <w:color w:val="000000"/>
          <w:sz w:val="24"/>
          <w:szCs w:val="24"/>
          <w:lang w:val="en-US"/>
        </w:rPr>
        <w:t xml:space="preserve">(Germany), </w:t>
      </w:r>
      <w:r w:rsidRPr="00831833">
        <w:rPr>
          <w:rFonts w:ascii="Calibri" w:hAnsi="Calibri" w:cs="Arial"/>
          <w:b/>
          <w:bCs/>
          <w:color w:val="000000"/>
          <w:sz w:val="24"/>
          <w:szCs w:val="24"/>
          <w:lang w:val="en-US"/>
        </w:rPr>
        <w:t>Schaeffler</w:t>
      </w:r>
      <w:r w:rsidRPr="00831833">
        <w:rPr>
          <w:rFonts w:ascii="Calibri" w:hAnsi="Calibri" w:cs="Arial"/>
          <w:color w:val="000000"/>
          <w:sz w:val="24"/>
          <w:szCs w:val="24"/>
          <w:lang w:val="en-US"/>
        </w:rPr>
        <w:t xml:space="preserve"> (Germany), </w:t>
      </w:r>
      <w:r w:rsidRPr="00D52796">
        <w:rPr>
          <w:rFonts w:ascii="Calibri" w:hAnsi="Calibri" w:cs="Arial"/>
          <w:b/>
          <w:color w:val="000000"/>
          <w:sz w:val="24"/>
          <w:szCs w:val="24"/>
          <w:lang w:val="en-US"/>
        </w:rPr>
        <w:t>Munters</w:t>
      </w:r>
      <w:r w:rsidRPr="00831833">
        <w:rPr>
          <w:rFonts w:ascii="Calibri" w:hAnsi="Calibri" w:cs="Arial"/>
          <w:color w:val="000000"/>
          <w:sz w:val="24"/>
          <w:szCs w:val="24"/>
          <w:lang w:val="en-US"/>
        </w:rPr>
        <w:t xml:space="preserve">(Sweden), </w:t>
      </w:r>
      <w:r w:rsidRPr="00D52796">
        <w:rPr>
          <w:rFonts w:ascii="Calibri" w:hAnsi="Calibri" w:cs="Arial"/>
          <w:b/>
          <w:color w:val="000000"/>
          <w:sz w:val="24"/>
          <w:szCs w:val="24"/>
          <w:lang w:val="en-US"/>
        </w:rPr>
        <w:t>Toyota</w:t>
      </w:r>
      <w:r w:rsidRPr="00831833">
        <w:rPr>
          <w:rFonts w:ascii="Calibri" w:hAnsi="Calibri" w:cs="Arial"/>
          <w:color w:val="000000"/>
          <w:sz w:val="24"/>
          <w:szCs w:val="24"/>
          <w:lang w:val="en-US"/>
        </w:rPr>
        <w:t xml:space="preserve">(Japan). </w:t>
      </w:r>
    </w:p>
    <w:p w:rsidR="00D52796" w:rsidRPr="009A6091" w:rsidRDefault="009A6091" w:rsidP="0026312D">
      <w:pPr>
        <w:autoSpaceDE w:val="0"/>
        <w:autoSpaceDN w:val="0"/>
        <w:adjustRightInd w:val="0"/>
        <w:spacing w:before="240"/>
        <w:jc w:val="both"/>
        <w:rPr>
          <w:rFonts w:ascii="Calibri" w:hAnsi="Calibri" w:cs="Arial"/>
          <w:color w:val="000000"/>
          <w:sz w:val="24"/>
          <w:szCs w:val="24"/>
          <w:lang w:val="en-US"/>
        </w:rPr>
      </w:pPr>
      <w:r>
        <w:rPr>
          <w:rFonts w:ascii="Calibri" w:hAnsi="Calibri" w:cs="Arial"/>
          <w:color w:val="000000"/>
          <w:sz w:val="24"/>
          <w:szCs w:val="24"/>
          <w:lang w:val="en-US"/>
        </w:rPr>
        <w:t xml:space="preserve">We would like to organize an </w:t>
      </w:r>
      <w:r w:rsidRPr="003F5A39">
        <w:rPr>
          <w:rFonts w:ascii="Calibri" w:hAnsi="Calibri" w:cs="Arial"/>
          <w:color w:val="000000"/>
          <w:sz w:val="24"/>
          <w:szCs w:val="24"/>
          <w:u w:val="single"/>
          <w:lang w:val="en-US"/>
        </w:rPr>
        <w:t>exclusive, customized B2B event</w:t>
      </w:r>
      <w:r w:rsidR="00D458D0">
        <w:rPr>
          <w:rFonts w:ascii="Calibri" w:hAnsi="Calibri" w:cs="Arial"/>
          <w:color w:val="000000"/>
          <w:sz w:val="24"/>
          <w:szCs w:val="24"/>
          <w:u w:val="single"/>
          <w:lang w:val="en-US"/>
        </w:rPr>
        <w:t xml:space="preserve"> (face to face / online)</w:t>
      </w:r>
      <w:r>
        <w:rPr>
          <w:rFonts w:ascii="Calibri" w:hAnsi="Calibri" w:cs="Arial"/>
          <w:color w:val="000000"/>
          <w:sz w:val="24"/>
          <w:szCs w:val="24"/>
          <w:lang w:val="en-US"/>
        </w:rPr>
        <w:t xml:space="preserve"> for your company in 2022. </w:t>
      </w:r>
    </w:p>
    <w:p w:rsidR="00D52796" w:rsidRPr="009A6091" w:rsidRDefault="009A6091" w:rsidP="0026312D">
      <w:pPr>
        <w:autoSpaceDE w:val="0"/>
        <w:autoSpaceDN w:val="0"/>
        <w:adjustRightInd w:val="0"/>
        <w:spacing w:before="240"/>
        <w:jc w:val="both"/>
        <w:rPr>
          <w:rFonts w:ascii="Calibri" w:hAnsi="Calibri" w:cs="Arial"/>
          <w:color w:val="000000"/>
          <w:sz w:val="24"/>
          <w:szCs w:val="24"/>
          <w:lang w:val="en-US"/>
        </w:rPr>
      </w:pPr>
      <w:r>
        <w:rPr>
          <w:rFonts w:ascii="Calibri" w:hAnsi="Calibri" w:cs="Arial"/>
          <w:color w:val="000000"/>
          <w:sz w:val="24"/>
          <w:szCs w:val="24"/>
          <w:lang w:val="en-US"/>
        </w:rPr>
        <w:t xml:space="preserve">We look forward to your suggestion for suitable dates.  </w:t>
      </w:r>
    </w:p>
    <w:p w:rsidR="009E4DDC" w:rsidRPr="009A6091" w:rsidRDefault="009A6091" w:rsidP="0026312D">
      <w:pPr>
        <w:autoSpaceDE w:val="0"/>
        <w:autoSpaceDN w:val="0"/>
        <w:adjustRightInd w:val="0"/>
        <w:spacing w:before="240"/>
        <w:jc w:val="both"/>
        <w:rPr>
          <w:rFonts w:ascii="Calibri" w:hAnsi="Calibri" w:cs="Arial"/>
          <w:color w:val="000000"/>
          <w:sz w:val="24"/>
          <w:szCs w:val="24"/>
          <w:lang w:val="en-US"/>
        </w:rPr>
      </w:pPr>
      <w:r>
        <w:rPr>
          <w:rFonts w:ascii="Calibri" w:hAnsi="Calibri" w:cs="Arial"/>
          <w:color w:val="000000"/>
          <w:sz w:val="24"/>
          <w:szCs w:val="24"/>
          <w:lang w:val="en-US"/>
        </w:rPr>
        <w:t>If you have any further questions, please contact us.</w:t>
      </w:r>
    </w:p>
    <w:p w:rsidR="005B273D" w:rsidRDefault="005B273D" w:rsidP="0026312D">
      <w:pPr>
        <w:autoSpaceDE w:val="0"/>
        <w:autoSpaceDN w:val="0"/>
        <w:adjustRightInd w:val="0"/>
        <w:spacing w:before="240"/>
        <w:jc w:val="both"/>
        <w:rPr>
          <w:rFonts w:ascii="Calibri" w:hAnsi="Calibri" w:cs="Arial"/>
          <w:color w:val="000000"/>
          <w:sz w:val="24"/>
          <w:szCs w:val="24"/>
        </w:rPr>
      </w:pPr>
    </w:p>
    <w:p w:rsidR="009E4DDC" w:rsidRPr="00831833" w:rsidRDefault="009A6091" w:rsidP="009E4DDC">
      <w:pPr>
        <w:autoSpaceDE w:val="0"/>
        <w:autoSpaceDN w:val="0"/>
        <w:adjustRightInd w:val="0"/>
        <w:spacing w:before="240"/>
        <w:rPr>
          <w:rFonts w:ascii="Calibri" w:hAnsi="Calibri" w:cs="Arial"/>
          <w:color w:val="000000"/>
          <w:sz w:val="24"/>
          <w:szCs w:val="24"/>
        </w:rPr>
      </w:pPr>
      <w:r w:rsidRPr="00831833">
        <w:rPr>
          <w:rFonts w:ascii="Calibri" w:hAnsi="Calibri" w:cs="Arial"/>
          <w:color w:val="000000"/>
          <w:sz w:val="24"/>
          <w:szCs w:val="24"/>
          <w:lang w:val="en-US"/>
        </w:rPr>
        <w:t>Sincerely yours,</w:t>
      </w:r>
      <w:bookmarkStart w:id="0" w:name="_GoBack"/>
      <w:bookmarkEnd w:id="0"/>
    </w:p>
    <w:sectPr w:rsidR="009E4DDC" w:rsidRPr="00831833">
      <w:headerReference w:type="default" r:id="rId8"/>
      <w:footerReference w:type="default" r:id="rId9"/>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154" w:rsidRDefault="00D20154">
      <w:r>
        <w:separator/>
      </w:r>
    </w:p>
  </w:endnote>
  <w:endnote w:type="continuationSeparator" w:id="0">
    <w:p w:rsidR="00D20154" w:rsidRDefault="00D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1)">
    <w:altName w:val="Arial"/>
    <w:charset w:val="A2"/>
    <w:family w:val="swiss"/>
    <w:pitch w:val="variable"/>
    <w:sig w:usb0="00000000" w:usb1="80000000" w:usb2="00000008"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426"/>
    </w:tblGrid>
    <w:tr w:rsidR="0069114A">
      <w:trPr>
        <w:cantSplit/>
      </w:trPr>
      <w:tc>
        <w:tcPr>
          <w:tcW w:w="9426" w:type="dxa"/>
        </w:tcPr>
        <w:p w:rsidR="00C057E8" w:rsidRDefault="009A6091" w:rsidP="00FE2C04">
          <w:pPr>
            <w:pStyle w:val="Altbilgi"/>
            <w:pBdr>
              <w:top w:val="single" w:sz="6" w:space="1" w:color="auto"/>
            </w:pBdr>
            <w:jc w:val="center"/>
            <w:rPr>
              <w:rFonts w:ascii="Arial" w:hAnsi="Arial"/>
            </w:rPr>
          </w:pPr>
          <w:r>
            <w:rPr>
              <w:rFonts w:ascii="Arial" w:hAnsi="Arial"/>
              <w:lang w:val="en-US"/>
            </w:rPr>
            <w:t>www.ito.org.tr</w:t>
          </w:r>
        </w:p>
        <w:p w:rsidR="008353DD" w:rsidRDefault="009A6091" w:rsidP="00FE2C04">
          <w:pPr>
            <w:pStyle w:val="Altbilgi"/>
            <w:jc w:val="center"/>
            <w:rPr>
              <w:rFonts w:ascii="Arial" w:hAnsi="Arial"/>
            </w:rPr>
          </w:pPr>
          <w:r>
            <w:rPr>
              <w:rFonts w:ascii="Arial" w:hAnsi="Arial"/>
              <w:lang w:val="en-US"/>
            </w:rPr>
            <w:t>Call us now: 0090 212 455 623</w:t>
          </w:r>
          <w:r w:rsidR="0024554A">
            <w:rPr>
              <w:rFonts w:ascii="Arial" w:hAnsi="Arial"/>
              <w:lang w:val="en-US"/>
            </w:rPr>
            <w:t>6</w:t>
          </w:r>
          <w:r>
            <w:rPr>
              <w:rFonts w:ascii="Arial" w:hAnsi="Arial"/>
              <w:lang w:val="en-US"/>
            </w:rPr>
            <w:t>, 623</w:t>
          </w:r>
          <w:r w:rsidR="0024554A">
            <w:rPr>
              <w:rFonts w:ascii="Arial" w:hAnsi="Arial"/>
              <w:lang w:val="en-US"/>
            </w:rPr>
            <w:t>3</w:t>
          </w:r>
          <w:r>
            <w:rPr>
              <w:rFonts w:ascii="Arial" w:hAnsi="Arial"/>
              <w:lang w:val="en-US"/>
            </w:rPr>
            <w:t>, 6225</w:t>
          </w:r>
          <w:r w:rsidR="00D458D0">
            <w:rPr>
              <w:rFonts w:ascii="Arial" w:hAnsi="Arial"/>
              <w:lang w:val="en-US"/>
            </w:rPr>
            <w:t>,</w:t>
          </w:r>
          <w:r w:rsidR="0024554A">
            <w:rPr>
              <w:rFonts w:ascii="Arial" w:hAnsi="Arial"/>
              <w:lang w:val="en-US"/>
            </w:rPr>
            <w:t xml:space="preserve"> </w:t>
          </w:r>
          <w:r w:rsidR="00D458D0">
            <w:rPr>
              <w:rFonts w:ascii="Arial" w:hAnsi="Arial"/>
              <w:lang w:val="en-US"/>
            </w:rPr>
            <w:t>6239</w:t>
          </w:r>
        </w:p>
        <w:p w:rsidR="00C057E8" w:rsidRDefault="00D458D0" w:rsidP="00FE2C04">
          <w:pPr>
            <w:pStyle w:val="Altbilgi"/>
            <w:jc w:val="center"/>
            <w:rPr>
              <w:rFonts w:ascii="Arial" w:hAnsi="Arial"/>
            </w:rPr>
          </w:pPr>
          <w:r>
            <w:rPr>
              <w:rFonts w:ascii="Arial" w:hAnsi="Arial"/>
              <w:lang w:val="en-US"/>
            </w:rPr>
            <w:t xml:space="preserve"> </w:t>
          </w:r>
          <w:proofErr w:type="spellStart"/>
          <w:r w:rsidR="009A6091" w:rsidRPr="009A6091">
            <w:rPr>
              <w:rFonts w:ascii="Arial" w:hAnsi="Arial"/>
              <w:lang w:val="de-DE"/>
            </w:rPr>
            <w:t>E-mail</w:t>
          </w:r>
          <w:proofErr w:type="spellEnd"/>
          <w:r w:rsidR="009A6091" w:rsidRPr="009A6091">
            <w:rPr>
              <w:rFonts w:ascii="Arial" w:hAnsi="Arial"/>
              <w:lang w:val="de-DE"/>
            </w:rPr>
            <w:t>: yansanayi@ito.org.tr</w:t>
          </w:r>
        </w:p>
        <w:p w:rsidR="00C057E8" w:rsidRDefault="009A6091">
          <w:pPr>
            <w:pStyle w:val="Altbilgi"/>
            <w:tabs>
              <w:tab w:val="left" w:pos="4395"/>
            </w:tabs>
            <w:rPr>
              <w:rFonts w:ascii="Arial" w:hAnsi="Arial"/>
              <w:sz w:val="16"/>
            </w:rPr>
          </w:pPr>
          <w:r>
            <w:rPr>
              <w:rFonts w:ascii="Arial" w:hAnsi="Arial"/>
            </w:rPr>
            <w:t xml:space="preserve">                                                                                                            </w:t>
          </w:r>
        </w:p>
      </w:tc>
    </w:tr>
  </w:tbl>
  <w:p w:rsidR="00C057E8" w:rsidRDefault="00C057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154" w:rsidRDefault="00D20154">
      <w:r>
        <w:separator/>
      </w:r>
    </w:p>
  </w:footnote>
  <w:footnote w:type="continuationSeparator" w:id="0">
    <w:p w:rsidR="00D20154" w:rsidRDefault="00D2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E8" w:rsidRDefault="009A6091">
    <w:pPr>
      <w:pStyle w:val="stbilgi"/>
      <w:pBdr>
        <w:top w:val="single" w:sz="4" w:space="1" w:color="auto"/>
        <w:left w:val="single" w:sz="4" w:space="31" w:color="auto"/>
        <w:bottom w:val="single" w:sz="4" w:space="4" w:color="auto"/>
        <w:right w:val="single" w:sz="4" w:space="28" w:color="auto"/>
      </w:pBdr>
      <w:shd w:val="pct5" w:color="000000" w:fill="FFFFFF"/>
      <w:jc w:val="center"/>
      <w:rPr>
        <w:rFonts w:ascii="Arial" w:hAnsi="Arial"/>
        <w:b/>
        <w:sz w:val="40"/>
      </w:rPr>
    </w:pPr>
    <w:r>
      <w:rPr>
        <w:rFonts w:ascii="Arial" w:hAnsi="Arial"/>
        <w:b/>
        <w:sz w:val="40"/>
        <w:lang w:val="en-US"/>
      </w:rPr>
      <w:t>ISTANBUL CHAMBER OF COMMERCE</w:t>
    </w:r>
  </w:p>
  <w:p w:rsidR="00C057E8" w:rsidRDefault="009A6091">
    <w:pPr>
      <w:pStyle w:val="stbilgi"/>
      <w:pBdr>
        <w:top w:val="single" w:sz="4" w:space="1" w:color="auto"/>
        <w:left w:val="single" w:sz="4" w:space="31" w:color="auto"/>
        <w:bottom w:val="single" w:sz="4" w:space="4" w:color="auto"/>
        <w:right w:val="single" w:sz="4" w:space="28" w:color="auto"/>
      </w:pBdr>
      <w:shd w:val="pct5" w:color="000000" w:fill="FFFFFF"/>
      <w:jc w:val="center"/>
      <w:rPr>
        <w:rFonts w:ascii="Arial" w:hAnsi="Arial"/>
        <w:b/>
        <w:sz w:val="40"/>
      </w:rPr>
    </w:pPr>
    <w:r>
      <w:rPr>
        <w:rFonts w:ascii="Arial" w:hAnsi="Arial"/>
        <w:b/>
        <w:sz w:val="32"/>
        <w:lang w:val="en-US"/>
      </w:rPr>
      <w:t>TURKISH SUBCONTRACTING EXCHANGE</w:t>
    </w:r>
  </w:p>
  <w:p w:rsidR="00C057E8" w:rsidRDefault="00C057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830D5"/>
    <w:multiLevelType w:val="hybridMultilevel"/>
    <w:tmpl w:val="E45C585E"/>
    <w:lvl w:ilvl="0" w:tplc="E47C2DB2">
      <w:start w:val="1"/>
      <w:numFmt w:val="bullet"/>
      <w:lvlText w:val=""/>
      <w:lvlJc w:val="left"/>
      <w:pPr>
        <w:ind w:left="1050" w:hanging="360"/>
      </w:pPr>
      <w:rPr>
        <w:rFonts w:ascii="Symbol" w:hAnsi="Symbol" w:hint="default"/>
      </w:rPr>
    </w:lvl>
    <w:lvl w:ilvl="1" w:tplc="7D14F54E" w:tentative="1">
      <w:start w:val="1"/>
      <w:numFmt w:val="bullet"/>
      <w:lvlText w:val="o"/>
      <w:lvlJc w:val="left"/>
      <w:pPr>
        <w:ind w:left="1770" w:hanging="360"/>
      </w:pPr>
      <w:rPr>
        <w:rFonts w:ascii="Courier New" w:hAnsi="Courier New" w:cs="Courier New" w:hint="default"/>
      </w:rPr>
    </w:lvl>
    <w:lvl w:ilvl="2" w:tplc="4DF2C404" w:tentative="1">
      <w:start w:val="1"/>
      <w:numFmt w:val="bullet"/>
      <w:lvlText w:val=""/>
      <w:lvlJc w:val="left"/>
      <w:pPr>
        <w:ind w:left="2490" w:hanging="360"/>
      </w:pPr>
      <w:rPr>
        <w:rFonts w:ascii="Wingdings" w:hAnsi="Wingdings" w:hint="default"/>
      </w:rPr>
    </w:lvl>
    <w:lvl w:ilvl="3" w:tplc="8A4CF25A" w:tentative="1">
      <w:start w:val="1"/>
      <w:numFmt w:val="bullet"/>
      <w:lvlText w:val=""/>
      <w:lvlJc w:val="left"/>
      <w:pPr>
        <w:ind w:left="3210" w:hanging="360"/>
      </w:pPr>
      <w:rPr>
        <w:rFonts w:ascii="Symbol" w:hAnsi="Symbol" w:hint="default"/>
      </w:rPr>
    </w:lvl>
    <w:lvl w:ilvl="4" w:tplc="EAD8F624" w:tentative="1">
      <w:start w:val="1"/>
      <w:numFmt w:val="bullet"/>
      <w:lvlText w:val="o"/>
      <w:lvlJc w:val="left"/>
      <w:pPr>
        <w:ind w:left="3930" w:hanging="360"/>
      </w:pPr>
      <w:rPr>
        <w:rFonts w:ascii="Courier New" w:hAnsi="Courier New" w:cs="Courier New" w:hint="default"/>
      </w:rPr>
    </w:lvl>
    <w:lvl w:ilvl="5" w:tplc="64381CD2" w:tentative="1">
      <w:start w:val="1"/>
      <w:numFmt w:val="bullet"/>
      <w:lvlText w:val=""/>
      <w:lvlJc w:val="left"/>
      <w:pPr>
        <w:ind w:left="4650" w:hanging="360"/>
      </w:pPr>
      <w:rPr>
        <w:rFonts w:ascii="Wingdings" w:hAnsi="Wingdings" w:hint="default"/>
      </w:rPr>
    </w:lvl>
    <w:lvl w:ilvl="6" w:tplc="10B66992" w:tentative="1">
      <w:start w:val="1"/>
      <w:numFmt w:val="bullet"/>
      <w:lvlText w:val=""/>
      <w:lvlJc w:val="left"/>
      <w:pPr>
        <w:ind w:left="5370" w:hanging="360"/>
      </w:pPr>
      <w:rPr>
        <w:rFonts w:ascii="Symbol" w:hAnsi="Symbol" w:hint="default"/>
      </w:rPr>
    </w:lvl>
    <w:lvl w:ilvl="7" w:tplc="9AA8AF0E" w:tentative="1">
      <w:start w:val="1"/>
      <w:numFmt w:val="bullet"/>
      <w:lvlText w:val="o"/>
      <w:lvlJc w:val="left"/>
      <w:pPr>
        <w:ind w:left="6090" w:hanging="360"/>
      </w:pPr>
      <w:rPr>
        <w:rFonts w:ascii="Courier New" w:hAnsi="Courier New" w:cs="Courier New" w:hint="default"/>
      </w:rPr>
    </w:lvl>
    <w:lvl w:ilvl="8" w:tplc="4B9058E8" w:tentative="1">
      <w:start w:val="1"/>
      <w:numFmt w:val="bullet"/>
      <w:lvlText w:val=""/>
      <w:lvlJc w:val="left"/>
      <w:pPr>
        <w:ind w:left="681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E8"/>
    <w:rsid w:val="00014375"/>
    <w:rsid w:val="0005310D"/>
    <w:rsid w:val="000638DB"/>
    <w:rsid w:val="00071361"/>
    <w:rsid w:val="000A732D"/>
    <w:rsid w:val="000B1D95"/>
    <w:rsid w:val="000B504D"/>
    <w:rsid w:val="000C39F1"/>
    <w:rsid w:val="000E75FA"/>
    <w:rsid w:val="00103D2F"/>
    <w:rsid w:val="0013182E"/>
    <w:rsid w:val="001559D1"/>
    <w:rsid w:val="00173692"/>
    <w:rsid w:val="00197709"/>
    <w:rsid w:val="001A6A06"/>
    <w:rsid w:val="001B5F51"/>
    <w:rsid w:val="00203A48"/>
    <w:rsid w:val="0024163A"/>
    <w:rsid w:val="0024554A"/>
    <w:rsid w:val="0026312D"/>
    <w:rsid w:val="002902F5"/>
    <w:rsid w:val="00292EC2"/>
    <w:rsid w:val="0029423F"/>
    <w:rsid w:val="002B2344"/>
    <w:rsid w:val="002C64BB"/>
    <w:rsid w:val="002D56F2"/>
    <w:rsid w:val="002D6148"/>
    <w:rsid w:val="002E3EA6"/>
    <w:rsid w:val="00333D77"/>
    <w:rsid w:val="00345EC4"/>
    <w:rsid w:val="0035506B"/>
    <w:rsid w:val="003600D6"/>
    <w:rsid w:val="00370F07"/>
    <w:rsid w:val="003722DB"/>
    <w:rsid w:val="0037763A"/>
    <w:rsid w:val="003B0E57"/>
    <w:rsid w:val="003B0EDF"/>
    <w:rsid w:val="003F5A39"/>
    <w:rsid w:val="00407E69"/>
    <w:rsid w:val="00424DBB"/>
    <w:rsid w:val="00444042"/>
    <w:rsid w:val="00466ECA"/>
    <w:rsid w:val="004B1F9B"/>
    <w:rsid w:val="004B3754"/>
    <w:rsid w:val="004D0C2E"/>
    <w:rsid w:val="00525E5F"/>
    <w:rsid w:val="00525FFB"/>
    <w:rsid w:val="00563AF7"/>
    <w:rsid w:val="00565C5C"/>
    <w:rsid w:val="00567F45"/>
    <w:rsid w:val="00570F2C"/>
    <w:rsid w:val="00597F12"/>
    <w:rsid w:val="005B0B47"/>
    <w:rsid w:val="005B273D"/>
    <w:rsid w:val="005C4BFA"/>
    <w:rsid w:val="005E399A"/>
    <w:rsid w:val="005F7895"/>
    <w:rsid w:val="0060176D"/>
    <w:rsid w:val="006228B2"/>
    <w:rsid w:val="00624FDC"/>
    <w:rsid w:val="0064018E"/>
    <w:rsid w:val="00641CF7"/>
    <w:rsid w:val="006812D6"/>
    <w:rsid w:val="0069114A"/>
    <w:rsid w:val="006911AD"/>
    <w:rsid w:val="00696F18"/>
    <w:rsid w:val="006A5E1C"/>
    <w:rsid w:val="006C0290"/>
    <w:rsid w:val="006C7195"/>
    <w:rsid w:val="006F2192"/>
    <w:rsid w:val="006F3129"/>
    <w:rsid w:val="006F48CF"/>
    <w:rsid w:val="006F689C"/>
    <w:rsid w:val="00702E13"/>
    <w:rsid w:val="00704008"/>
    <w:rsid w:val="0071330E"/>
    <w:rsid w:val="007204B2"/>
    <w:rsid w:val="00746483"/>
    <w:rsid w:val="00753667"/>
    <w:rsid w:val="00786130"/>
    <w:rsid w:val="007A4721"/>
    <w:rsid w:val="007B1270"/>
    <w:rsid w:val="007B35CE"/>
    <w:rsid w:val="007C7E26"/>
    <w:rsid w:val="007D40C0"/>
    <w:rsid w:val="007E6218"/>
    <w:rsid w:val="007E7883"/>
    <w:rsid w:val="007F1927"/>
    <w:rsid w:val="00802A98"/>
    <w:rsid w:val="00831833"/>
    <w:rsid w:val="00834846"/>
    <w:rsid w:val="008353DD"/>
    <w:rsid w:val="0083561A"/>
    <w:rsid w:val="00846E8C"/>
    <w:rsid w:val="00890E0A"/>
    <w:rsid w:val="00897FAD"/>
    <w:rsid w:val="008A0910"/>
    <w:rsid w:val="008B107E"/>
    <w:rsid w:val="008B4E33"/>
    <w:rsid w:val="008E32DD"/>
    <w:rsid w:val="00920538"/>
    <w:rsid w:val="00933A99"/>
    <w:rsid w:val="00935EF5"/>
    <w:rsid w:val="00937EBF"/>
    <w:rsid w:val="009658B4"/>
    <w:rsid w:val="00974E8C"/>
    <w:rsid w:val="009A6091"/>
    <w:rsid w:val="009E4DDC"/>
    <w:rsid w:val="00A23F91"/>
    <w:rsid w:val="00A373CB"/>
    <w:rsid w:val="00A96706"/>
    <w:rsid w:val="00AB481B"/>
    <w:rsid w:val="00AE3D77"/>
    <w:rsid w:val="00B14F1F"/>
    <w:rsid w:val="00B3351E"/>
    <w:rsid w:val="00B373C7"/>
    <w:rsid w:val="00B61A09"/>
    <w:rsid w:val="00B65B62"/>
    <w:rsid w:val="00BA7E42"/>
    <w:rsid w:val="00BB02EB"/>
    <w:rsid w:val="00BB23A7"/>
    <w:rsid w:val="00BC4C2D"/>
    <w:rsid w:val="00BE7C74"/>
    <w:rsid w:val="00C057E8"/>
    <w:rsid w:val="00C14863"/>
    <w:rsid w:val="00C35F7F"/>
    <w:rsid w:val="00C451D7"/>
    <w:rsid w:val="00C6366C"/>
    <w:rsid w:val="00D04AA0"/>
    <w:rsid w:val="00D05E45"/>
    <w:rsid w:val="00D20154"/>
    <w:rsid w:val="00D305E8"/>
    <w:rsid w:val="00D458D0"/>
    <w:rsid w:val="00D52796"/>
    <w:rsid w:val="00D65F37"/>
    <w:rsid w:val="00D80778"/>
    <w:rsid w:val="00DA2DCB"/>
    <w:rsid w:val="00DA5B51"/>
    <w:rsid w:val="00DC14C1"/>
    <w:rsid w:val="00DD639D"/>
    <w:rsid w:val="00DF4176"/>
    <w:rsid w:val="00E02780"/>
    <w:rsid w:val="00E02969"/>
    <w:rsid w:val="00E05F9B"/>
    <w:rsid w:val="00E137F8"/>
    <w:rsid w:val="00E16E43"/>
    <w:rsid w:val="00E33ED3"/>
    <w:rsid w:val="00E41E18"/>
    <w:rsid w:val="00E5269D"/>
    <w:rsid w:val="00E54CB8"/>
    <w:rsid w:val="00E6577B"/>
    <w:rsid w:val="00E90393"/>
    <w:rsid w:val="00EC7A9C"/>
    <w:rsid w:val="00ED0500"/>
    <w:rsid w:val="00ED188F"/>
    <w:rsid w:val="00ED3364"/>
    <w:rsid w:val="00F236F6"/>
    <w:rsid w:val="00F25729"/>
    <w:rsid w:val="00F422BB"/>
    <w:rsid w:val="00F53BF5"/>
    <w:rsid w:val="00F633EF"/>
    <w:rsid w:val="00F7171C"/>
    <w:rsid w:val="00F72A6B"/>
    <w:rsid w:val="00F87CB4"/>
    <w:rsid w:val="00FC6535"/>
    <w:rsid w:val="00FE2725"/>
    <w:rsid w:val="00FE2C04"/>
    <w:rsid w:val="00FE3D7C"/>
    <w:rsid w:val="00FF187B"/>
    <w:rsid w:val="00FF5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A12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tabs>
        <w:tab w:val="left" w:pos="0"/>
      </w:tabs>
      <w:ind w:left="142" w:right="1"/>
      <w:outlineLvl w:val="0"/>
    </w:pPr>
    <w:rPr>
      <w:rFonts w:ascii="Arial" w:hAnsi="Arial"/>
      <w:b/>
      <w:sz w:val="24"/>
      <w:lang w:val="en-US"/>
    </w:rPr>
  </w:style>
  <w:style w:type="paragraph" w:styleId="Balk2">
    <w:name w:val="heading 2"/>
    <w:basedOn w:val="Normal"/>
    <w:next w:val="Normal"/>
    <w:qFormat/>
    <w:pPr>
      <w:keepNext/>
      <w:tabs>
        <w:tab w:val="left" w:pos="0"/>
      </w:tabs>
      <w:ind w:right="1"/>
      <w:outlineLvl w:val="1"/>
    </w:pPr>
    <w:rPr>
      <w:rFonts w:ascii="Arial" w:hAnsi="Arial"/>
      <w:b/>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tabs>
        <w:tab w:val="left" w:pos="0"/>
      </w:tabs>
      <w:ind w:right="1"/>
    </w:pPr>
    <w:rPr>
      <w:rFonts w:ascii="Arial" w:hAnsi="Arial"/>
      <w:b/>
      <w:sz w:val="24"/>
      <w:lang w:val="en-US"/>
    </w:rPr>
  </w:style>
  <w:style w:type="paragraph" w:styleId="KonuBal">
    <w:name w:val="Title"/>
    <w:basedOn w:val="Normal"/>
    <w:qFormat/>
    <w:pPr>
      <w:tabs>
        <w:tab w:val="left" w:pos="0"/>
      </w:tabs>
      <w:ind w:right="1"/>
      <w:jc w:val="center"/>
    </w:pPr>
    <w:rPr>
      <w:rFonts w:ascii="Arial" w:hAnsi="Arial"/>
      <w:b/>
      <w:sz w:val="32"/>
      <w:lang w:val="en-US"/>
    </w:rPr>
  </w:style>
  <w:style w:type="paragraph" w:customStyle="1" w:styleId="AltKonuBal">
    <w:name w:val="Alt Konu Başlığı"/>
    <w:basedOn w:val="Normal"/>
    <w:qFormat/>
    <w:pPr>
      <w:tabs>
        <w:tab w:val="left" w:pos="0"/>
      </w:tabs>
      <w:ind w:right="1"/>
      <w:jc w:val="center"/>
    </w:pPr>
    <w:rPr>
      <w:rFonts w:ascii="Arial" w:hAnsi="Arial"/>
      <w:i/>
      <w:sz w:val="22"/>
      <w:lang w:val="en-US"/>
    </w:rPr>
  </w:style>
  <w:style w:type="paragraph" w:styleId="BalonMetni">
    <w:name w:val="Balloon Text"/>
    <w:basedOn w:val="Normal"/>
    <w:semiHidden/>
    <w:rPr>
      <w:rFonts w:ascii="Tahoma" w:hAnsi="Tahoma" w:cs="Tahoma"/>
      <w:sz w:val="16"/>
      <w:szCs w:val="16"/>
    </w:rPr>
  </w:style>
  <w:style w:type="paragraph" w:styleId="bekMetni">
    <w:name w:val="Block Text"/>
    <w:basedOn w:val="Normal"/>
    <w:pPr>
      <w:tabs>
        <w:tab w:val="left" w:pos="0"/>
      </w:tabs>
      <w:ind w:left="142" w:right="1"/>
      <w:jc w:val="both"/>
    </w:pPr>
    <w:rPr>
      <w:rFonts w:ascii="Arial" w:hAnsi="Arial"/>
      <w:sz w:val="22"/>
    </w:rPr>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ListeParagraf">
    <w:name w:val="List Paragraph"/>
    <w:basedOn w:val="Normal"/>
    <w:uiPriority w:val="34"/>
    <w:qFormat/>
    <w:rsid w:val="005B273D"/>
    <w:pPr>
      <w:ind w:left="720"/>
      <w:contextualSpacing/>
    </w:pPr>
  </w:style>
  <w:style w:type="paragraph" w:styleId="stBilgi0">
    <w:name w:val="header"/>
    <w:basedOn w:val="Normal"/>
    <w:link w:val="stBilgiChar"/>
    <w:uiPriority w:val="99"/>
    <w:unhideWhenUsed/>
    <w:rsid w:val="006F3129"/>
    <w:pPr>
      <w:tabs>
        <w:tab w:val="center" w:pos="4536"/>
        <w:tab w:val="right" w:pos="9072"/>
      </w:tabs>
    </w:pPr>
  </w:style>
  <w:style w:type="character" w:customStyle="1" w:styleId="stBilgiChar">
    <w:name w:val="Üst Bilgi Char"/>
    <w:basedOn w:val="VarsaylanParagrafYazTipi"/>
    <w:link w:val="stBilgi0"/>
    <w:uiPriority w:val="99"/>
    <w:rsid w:val="006F3129"/>
  </w:style>
  <w:style w:type="paragraph" w:styleId="AltBilgi0">
    <w:name w:val="footer"/>
    <w:basedOn w:val="Normal"/>
    <w:link w:val="AltBilgiChar"/>
    <w:uiPriority w:val="99"/>
    <w:unhideWhenUsed/>
    <w:rsid w:val="006F3129"/>
    <w:pPr>
      <w:tabs>
        <w:tab w:val="center" w:pos="4536"/>
        <w:tab w:val="right" w:pos="9072"/>
      </w:tabs>
    </w:pPr>
  </w:style>
  <w:style w:type="character" w:customStyle="1" w:styleId="AltBilgiChar">
    <w:name w:val="Alt Bilgi Char"/>
    <w:basedOn w:val="VarsaylanParagrafYazTipi"/>
    <w:link w:val="AltBilgi0"/>
    <w:uiPriority w:val="99"/>
    <w:rsid w:val="006F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2021-12-20T11:18:00Z</dcterms:created>
  <dcterms:modified xsi:type="dcterms:W3CDTF">2022-01-18T11:28:00Z</dcterms:modified>
</cp:coreProperties>
</file>